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Raleway" w:cs="Raleway" w:eastAsia="Raleway" w:hAnsi="Raleway"/>
          <w:sz w:val="12"/>
          <w:szCs w:val="12"/>
        </w:rPr>
      </w:pPr>
      <w:r w:rsidDel="00000000" w:rsidR="00000000" w:rsidRPr="00000000">
        <w:rPr>
          <w:rFonts w:ascii="Raleway" w:cs="Raleway" w:eastAsia="Raleway" w:hAnsi="Raleway"/>
          <w:b w:val="1"/>
          <w:sz w:val="32"/>
          <w:szCs w:val="32"/>
          <w:rtl w:val="0"/>
        </w:rPr>
        <w:t xml:space="preserve">Phase 4 Coaching Form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-792479</wp:posOffset>
                </wp:positionV>
                <wp:extent cx="2370455" cy="1403836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65535" y="3082845"/>
                          <a:ext cx="2360930" cy="1394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Observer Name: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Teacher Observed: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Time/Period: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-792479</wp:posOffset>
                </wp:positionV>
                <wp:extent cx="2370455" cy="1403836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14038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7"/>
        <w:gridCol w:w="2697"/>
        <w:gridCol w:w="2698"/>
        <w:gridCol w:w="2698"/>
        <w:tblGridChange w:id="0">
          <w:tblGrid>
            <w:gridCol w:w="2697"/>
            <w:gridCol w:w="2697"/>
            <w:gridCol w:w="2698"/>
            <w:gridCol w:w="2698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ffff00" w:val="clear"/>
          </w:tcPr>
          <w:p w:rsidR="00000000" w:rsidDel="00000000" w:rsidP="00000000" w:rsidRDefault="00000000" w:rsidRPr="00000000" w14:paraId="00000003">
            <w:pPr>
              <w:pageBreakBefore w:val="0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Choice in Assessment </w:t>
            </w:r>
            <w:r w:rsidDel="00000000" w:rsidR="00000000" w:rsidRPr="00000000">
              <w:rPr>
                <w:rFonts w:ascii="Raleway" w:cs="Raleway" w:eastAsia="Raleway" w:hAnsi="Raleway"/>
                <w:sz w:val="28"/>
                <w:szCs w:val="28"/>
                <w:rtl w:val="0"/>
              </w:rPr>
              <w:t xml:space="preserve">(TEI Alignment 1.2, 1.3, 2.2)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Beginning 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Developing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Practicing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Achieving 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Students have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one way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and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one opportunity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to demonstrate mastery. 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Students have one way and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multiple opportunities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to demonstrate mastery.  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Students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sometimes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have multiple opportunities and ways to demonstrate mastery. 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Students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regularly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have multiple opportunities to demonstrate mastery and choice in the way they submit. </w:t>
            </w:r>
          </w:p>
          <w:p w:rsidR="00000000" w:rsidDel="00000000" w:rsidP="00000000" w:rsidRDefault="00000000" w:rsidRPr="00000000" w14:paraId="00000013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25"/>
        <w:gridCol w:w="6660"/>
        <w:tblGridChange w:id="0">
          <w:tblGrid>
            <w:gridCol w:w="4225"/>
            <w:gridCol w:w="666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5">
            <w:pPr>
              <w:pageBreakBefore w:val="0"/>
              <w:tabs>
                <w:tab w:val="left" w:pos="4109"/>
              </w:tabs>
              <w:jc w:val="center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Look- Fors During Observation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rFonts w:ascii="Raleway" w:cs="Raleway" w:eastAsia="Raleway" w:hAnsi="Raleway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8"/>
                <w:szCs w:val="28"/>
                <w:rtl w:val="0"/>
              </w:rPr>
              <w:t xml:space="preserve">Beginning/ Developing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Mastery of standards/objectives is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2a2a2a"/>
                <w:sz w:val="24"/>
                <w:szCs w:val="24"/>
                <w:highlight w:val="white"/>
                <w:rtl w:val="0"/>
              </w:rPr>
              <w:t xml:space="preserve">measured one time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, any feedback provided is not yet actionable and no additional opportunities to improve are available to students. 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Students can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2a2a2a"/>
                <w:sz w:val="24"/>
                <w:szCs w:val="24"/>
                <w:highlight w:val="white"/>
                <w:rtl w:val="0"/>
              </w:rPr>
              <w:t xml:space="preserve">retake assessments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, but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2a2a2a"/>
                <w:sz w:val="24"/>
                <w:szCs w:val="24"/>
                <w:highlight w:val="white"/>
                <w:rtl w:val="0"/>
              </w:rPr>
              <w:t xml:space="preserve"> feedback is not provided to support growth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, and their opportunity to demonstrate mastery is through one repeated method.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rFonts w:ascii="Raleway" w:cs="Raleway" w:eastAsia="Raleway" w:hAnsi="Raleway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8"/>
                <w:szCs w:val="28"/>
                <w:rtl w:val="0"/>
              </w:rPr>
              <w:t xml:space="preserve">Practicing/ Achieving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Students have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choice</w:t>
            </w: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in how they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demonstrate mastery </w:t>
            </w: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of standards/objectives.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Students are provided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multiple opportunities to demonstrate mastery</w:t>
            </w: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across a unit and are supported with actionable feedback after assessments to support their continued growth.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Students take ownership over deciding when and how to demonstrate mastery – i.e., they indicate to their teacher when they are ready and how they would like to show evidence of mastery.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pageBreakBefore w:val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Questions to Guide Observation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How are students assessed in the classroom?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Is one assessment administered to a whole class?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Does everyone receive the same type of assessment or are choices offered to students?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Is there evidence of students having some choice in when they demonstrate mastery of standards/objectives?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Is there evidence of actionable feedback with each demonstration of mastery?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Do you see students taking ownership of deciding when and how to demonstrate mastery?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12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pageBreakBefore w:val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Observation Notes: </w:t>
            </w:r>
          </w:p>
          <w:p w:rsidR="00000000" w:rsidDel="00000000" w:rsidP="00000000" w:rsidRDefault="00000000" w:rsidRPr="00000000" w14:paraId="00000030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63500</wp:posOffset>
                </wp:positionV>
                <wp:extent cx="5873115" cy="3213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14205" y="3624108"/>
                          <a:ext cx="586359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This work is licensed under the Creative Commons Attribution-Noncommercial-ShareAlike 4.0 International License.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63500</wp:posOffset>
                </wp:positionV>
                <wp:extent cx="5873115" cy="32131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3115" cy="321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2725</wp:posOffset>
            </wp:positionH>
            <wp:positionV relativeFrom="paragraph">
              <wp:posOffset>69215</wp:posOffset>
            </wp:positionV>
            <wp:extent cx="906780" cy="311785"/>
            <wp:effectExtent b="0" l="0" r="0" t="0"/>
            <wp:wrapNone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311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F">
      <w:pPr>
        <w:pageBreakBefore w:val="0"/>
        <w:rPr>
          <w:rFonts w:ascii="Open Sans" w:cs="Open Sans" w:eastAsia="Open Sans" w:hAnsi="Open Sans"/>
          <w:b w:val="1"/>
          <w:color w:val="7030a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5534025</wp:posOffset>
            </wp:positionH>
            <wp:positionV relativeFrom="paragraph">
              <wp:posOffset>2314575</wp:posOffset>
            </wp:positionV>
            <wp:extent cx="1375410" cy="531495"/>
            <wp:effectExtent b="0" l="0" r="0" t="0"/>
            <wp:wrapSquare wrapText="bothSides" distB="0" distT="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31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0" w:type="first"/>
      <w:footerReference r:id="rId11" w:type="defaul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Raleway" w:cs="Raleway" w:eastAsia="Raleway" w:hAnsi="Ralew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Personalized Learning</w:t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sz w:val="24"/>
        <w:szCs w:val="24"/>
      </w:rPr>
    </w:pPr>
    <w:hyperlink r:id="rId1"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www.thepltoolbox.com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b w:val="1"/>
        <w:i w:val="1"/>
        <w:sz w:val="20"/>
        <w:szCs w:val="20"/>
      </w:rPr>
    </w:pPr>
    <w:r w:rsidDel="00000000" w:rsidR="00000000" w:rsidRPr="00000000">
      <w:rPr>
        <w:rFonts w:ascii="Raleway" w:cs="Raleway" w:eastAsia="Raleway" w:hAnsi="Raleway"/>
        <w:b w:val="1"/>
        <w:i w:val="1"/>
        <w:sz w:val="20"/>
        <w:szCs w:val="20"/>
        <w:rtl w:val="0"/>
      </w:rPr>
      <w:t xml:space="preserve">updated June 2022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678159" cy="428754"/>
          <wp:effectExtent b="0" l="0" r="0" t="0"/>
          <wp:docPr id="4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78159" cy="4287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hepltoolbox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